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3" w:name="_GoBack"/>
      <w:bookmarkStart w:id="0" w:name="_Toc80179377"/>
      <w:r>
        <w:rPr>
          <w:rFonts w:hint="eastAsia" w:ascii="方正小标宋简体" w:eastAsia="方正小标宋简体"/>
          <w:sz w:val="44"/>
          <w:szCs w:val="44"/>
        </w:rPr>
        <w:t>投标人投标保证金交纳操作指南</w:t>
      </w:r>
      <w:bookmarkEnd w:id="3"/>
      <w:bookmarkEnd w:id="0"/>
    </w:p>
    <w:p>
      <w:pPr>
        <w:adjustRightInd w:val="0"/>
        <w:snapToGrid w:val="0"/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pStyle w:val="2"/>
        <w:ind w:firstLine="643"/>
      </w:pPr>
      <w:bookmarkStart w:id="1" w:name="_Toc80179378"/>
      <w:r>
        <w:rPr>
          <w:rFonts w:hint="eastAsia"/>
        </w:rPr>
        <w:t>一、交纳投标保证金</w:t>
      </w:r>
      <w:bookmarkEnd w:id="1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1.投标人通过我的关注项目交纳保证金功能栏，线上获取投标保证金交纳账户，如图1所示点击【交纳】按钮：</w:t>
      </w:r>
    </w:p>
    <w:p>
      <w:pPr>
        <w:adjustRightInd w:val="0"/>
        <w:snapToGrid w:val="0"/>
        <w:spacing w:line="560" w:lineRule="exact"/>
        <w:ind w:firstLine="200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37465</wp:posOffset>
            </wp:positionV>
            <wp:extent cx="5264785" cy="21583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图1 投标人保证金交纳操作图示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2.收款银行为【中国农业银行】，点击【下一步】后不可更改，请谨慎操作。如图2所示：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26035</wp:posOffset>
            </wp:positionH>
            <wp:positionV relativeFrom="paragraph">
              <wp:posOffset>67945</wp:posOffset>
            </wp:positionV>
            <wp:extent cx="5212080" cy="2370455"/>
            <wp:effectExtent l="0" t="0" r="762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图2 投标人选择收款银行界面操作展示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</w:rPr>
        <w:t>每个投标项目均会随机生成不同的保证金交纳子账户，投标人应当按照提示账户交纳投标保证金。如图3所示，该页面信息支持在线【打印】：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-5080</wp:posOffset>
            </wp:positionH>
            <wp:positionV relativeFrom="paragraph">
              <wp:posOffset>26035</wp:posOffset>
            </wp:positionV>
            <wp:extent cx="5267960" cy="221170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716" cy="221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200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图3 项目保证金子账户随机生成展示界面</w:t>
      </w:r>
    </w:p>
    <w:p>
      <w:pPr>
        <w:pStyle w:val="2"/>
        <w:ind w:firstLine="643"/>
      </w:pPr>
      <w:bookmarkStart w:id="2" w:name="_Toc80179379"/>
      <w:r>
        <w:rPr>
          <w:rFonts w:hint="eastAsia"/>
        </w:rPr>
        <w:t>二、保证金交退查看</w:t>
      </w:r>
      <w:bookmarkEnd w:id="2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投标人投标保证金交纳成功后，可在【保证金交退查看】中查询保证金交退情况；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操作步骤：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1.投标人点击【查看】按钮，进入保证金交纳明细查看页面。如图4所示；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48260</wp:posOffset>
            </wp:positionV>
            <wp:extent cx="5270500" cy="2137410"/>
            <wp:effectExtent l="0" t="0" r="635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363" cy="21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图4 投标人查看保证金交退情况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2.投标人点击【刷新】按钮，同步保证金交纳的项目信息和保证金交纳流水数据；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注：（1）保证金交纳有效判断条件：①付款账号户名与投标人登录账号名一致，②到账时间早于保证金递交截止时间；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（2）保证金交纳成功条件：有效保证金大于等于保证金金额。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（3）保证金交纳成功后，提供【保证金交纳到账通知】pdf文件下载打印功能。如图5所示：</w:t>
      </w:r>
      <w:r>
        <w:rPr>
          <w:rFonts w:hint="eastAsia" w:ascii="仿宋_GB2312" w:hAnsi="宋体" w:eastAsia="仿宋_GB2312" w:cs="Times New Roman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79375</wp:posOffset>
            </wp:positionH>
            <wp:positionV relativeFrom="paragraph">
              <wp:posOffset>703580</wp:posOffset>
            </wp:positionV>
            <wp:extent cx="5119370" cy="2221230"/>
            <wp:effectExtent l="0" t="0" r="5715" b="762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782" cy="222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color w:val="FF0000"/>
          <w:sz w:val="32"/>
          <w:szCs w:val="32"/>
        </w:rPr>
      </w:pP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color w:val="FF0000"/>
          <w:sz w:val="32"/>
          <w:szCs w:val="32"/>
        </w:rPr>
      </w:pP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color w:val="FF0000"/>
          <w:sz w:val="32"/>
          <w:szCs w:val="32"/>
        </w:rPr>
      </w:pPr>
    </w:p>
    <w:p>
      <w:pPr>
        <w:tabs>
          <w:tab w:val="left" w:pos="312"/>
        </w:tabs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FF0000"/>
          <w:sz w:val="32"/>
          <w:szCs w:val="32"/>
        </w:rPr>
      </w:pPr>
    </w:p>
    <w:p>
      <w:pPr>
        <w:tabs>
          <w:tab w:val="left" w:pos="312"/>
        </w:tabs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FF0000"/>
          <w:sz w:val="32"/>
          <w:szCs w:val="32"/>
        </w:rPr>
      </w:pPr>
    </w:p>
    <w:p>
      <w:pPr>
        <w:tabs>
          <w:tab w:val="left" w:pos="312"/>
        </w:tabs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FF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图5 投标人下载保证金交纳到账通知展示界面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特别提醒：天津农交所不再提供保证金收据，《保证金交纳到账通知》是对应项目的投标保证金交纳成功的重要证明，请投标人妥善保存！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3.返回项目列表，点击【交退明细】按钮，进入保证金交退明细页面。如图6所示：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57785</wp:posOffset>
            </wp:positionV>
            <wp:extent cx="5120640" cy="1807845"/>
            <wp:effectExtent l="0" t="0" r="381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694" cy="181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图6 投标人查看保证金交退明细展示界面（1）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4.在保证金交退明细中，投标人可查看到保证金交纳状态和退款状态。如图7所示：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270500" cy="2623820"/>
            <wp:effectExtent l="0" t="0" r="6350" b="571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图7 </w:t>
      </w:r>
      <w:r>
        <w:rPr>
          <w:rFonts w:hint="eastAsia" w:ascii="仿宋_GB2312" w:hAnsi="宋体" w:eastAsia="仿宋_GB2312" w:cs="Times New Roman"/>
          <w:sz w:val="28"/>
          <w:szCs w:val="28"/>
        </w:rPr>
        <w:t>投标人查看保证金交退明细展示界面（2）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注：（1）未中标人投标保证金退款，在中标结果公示后，由招标代理提交未中标人退款申请，天津农交所自收到退款申请之日起</w:t>
      </w:r>
      <w:r>
        <w:rPr>
          <w:rFonts w:ascii="仿宋_GB2312" w:hAnsi="宋体" w:eastAsia="仿宋_GB2312" w:cs="Times New Roman"/>
          <w:sz w:val="28"/>
          <w:szCs w:val="28"/>
        </w:rPr>
        <w:t>3个工作日内向未中标人退还投标保证金；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（2）</w:t>
      </w:r>
      <w:r>
        <w:rPr>
          <w:rFonts w:ascii="仿宋_GB2312" w:hAnsi="宋体" w:eastAsia="仿宋_GB2312" w:cs="Times New Roman"/>
          <w:sz w:val="28"/>
          <w:szCs w:val="28"/>
        </w:rPr>
        <w:t>中标人投标保证金退款，在中标人完成合同上传以及鉴证服务费缴纳凭证上传后，由系统自动退还。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7F"/>
    <w:rsid w:val="00075671"/>
    <w:rsid w:val="000E5194"/>
    <w:rsid w:val="000E6703"/>
    <w:rsid w:val="0016139C"/>
    <w:rsid w:val="00170745"/>
    <w:rsid w:val="001B780B"/>
    <w:rsid w:val="0026216D"/>
    <w:rsid w:val="002A2FD3"/>
    <w:rsid w:val="00340773"/>
    <w:rsid w:val="00360B37"/>
    <w:rsid w:val="003658C8"/>
    <w:rsid w:val="004214AE"/>
    <w:rsid w:val="00443062"/>
    <w:rsid w:val="004B2B44"/>
    <w:rsid w:val="004D4B13"/>
    <w:rsid w:val="005E083A"/>
    <w:rsid w:val="006039D2"/>
    <w:rsid w:val="00641725"/>
    <w:rsid w:val="00677A3A"/>
    <w:rsid w:val="00692084"/>
    <w:rsid w:val="006C6522"/>
    <w:rsid w:val="00710421"/>
    <w:rsid w:val="00732E39"/>
    <w:rsid w:val="00747C39"/>
    <w:rsid w:val="0080128B"/>
    <w:rsid w:val="008106F7"/>
    <w:rsid w:val="00841E85"/>
    <w:rsid w:val="008863C9"/>
    <w:rsid w:val="00891868"/>
    <w:rsid w:val="008C2AF8"/>
    <w:rsid w:val="008C44F9"/>
    <w:rsid w:val="008E21D0"/>
    <w:rsid w:val="00944B26"/>
    <w:rsid w:val="009640C9"/>
    <w:rsid w:val="00966BCA"/>
    <w:rsid w:val="009F1195"/>
    <w:rsid w:val="00A40FAB"/>
    <w:rsid w:val="00A466CB"/>
    <w:rsid w:val="00BC775E"/>
    <w:rsid w:val="00C13EA4"/>
    <w:rsid w:val="00C5526D"/>
    <w:rsid w:val="00C87BD2"/>
    <w:rsid w:val="00D46C1C"/>
    <w:rsid w:val="00DA550D"/>
    <w:rsid w:val="00E143FB"/>
    <w:rsid w:val="00E30BC4"/>
    <w:rsid w:val="00E61DBF"/>
    <w:rsid w:val="00E91D38"/>
    <w:rsid w:val="00F20FEE"/>
    <w:rsid w:val="00F241E5"/>
    <w:rsid w:val="00F63678"/>
    <w:rsid w:val="00F82B69"/>
    <w:rsid w:val="00FA07BF"/>
    <w:rsid w:val="00FA4228"/>
    <w:rsid w:val="00FB657F"/>
    <w:rsid w:val="3C725ADA"/>
    <w:rsid w:val="3FFF2992"/>
    <w:rsid w:val="733FE365"/>
    <w:rsid w:val="76C20A9E"/>
    <w:rsid w:val="7B8479AD"/>
    <w:rsid w:val="7F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3"/>
    <w:semiHidden/>
    <w:uiPriority w:val="99"/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uiPriority w:val="9"/>
    <w:rPr>
      <w:rFonts w:eastAsia="仿宋_GB2312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394</Words>
  <Characters>2250</Characters>
  <Lines>18</Lines>
  <Paragraphs>5</Paragraphs>
  <TotalTime>18</TotalTime>
  <ScaleCrop>false</ScaleCrop>
  <LinksUpToDate>false</LinksUpToDate>
  <CharactersWithSpaces>2639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2020-06-06T16:30:00Z</dcterms:created>
  <dc:creator>Administrator</dc:creator>
  <cp:lastModifiedBy>哆啦A菁</cp:lastModifiedBy>
  <dcterms:modified xsi:type="dcterms:W3CDTF">2021-08-20T08:47:05Z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