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Toc80179380"/>
      <w:r>
        <w:rPr>
          <w:rFonts w:hint="eastAsia" w:ascii="方正小标宋简体" w:eastAsia="方正小标宋简体"/>
          <w:sz w:val="44"/>
          <w:szCs w:val="44"/>
        </w:rPr>
        <w:t>招标代理机构保证金管理系统操作指南</w:t>
      </w:r>
      <w:bookmarkEnd w:id="0"/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ind w:firstLine="643"/>
      </w:pPr>
      <w:bookmarkStart w:id="1" w:name="_Toc80179381"/>
      <w:r>
        <w:rPr>
          <w:rFonts w:hint="eastAsia"/>
        </w:rPr>
        <w:t>一、保证金退款申请</w:t>
      </w:r>
      <w:bookmarkEnd w:id="1"/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在中标结果公示发布后或项目异常处理后，招标代理机构可以对未中标人的投标保证金进行退款申请；</w:t>
      </w:r>
    </w:p>
    <w:p>
      <w:pPr>
        <w:spacing w:line="560" w:lineRule="exact"/>
        <w:ind w:firstLine="643" w:firstLineChars="2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操作步骤：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1.点击【新增退款申请】按钮，选择需要退款的标段，具体操作如图1所示：</w:t>
      </w: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5274310" cy="3211830"/>
            <wp:effectExtent l="0" t="0" r="2540" b="762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560" w:firstLineChars="200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图1 招标代理机构新增退款申请展示图示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2.在保证金退款明细中，勾选需要退款的未中标投标单位并确认金额、填写退款说明，具体操作如图2所示：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-3176905</wp:posOffset>
            </wp:positionV>
            <wp:extent cx="5269865" cy="3463290"/>
            <wp:effectExtent l="0" t="0" r="6985" b="381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图2 招标代理机构退款操作界面展示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3.点击【退款函下载】按钮，下载退款函后线下确认内容无误后签字盖章，在附件中上传中标通知书，退还保证金的函和相关附件，具体操作如图2所示；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4.招标代理机构点击【查看交纳详情】按钮，查看到投标人银行转账的保证金金额和中标情况；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5.信息确认无误后，点击【提交】，天津农交所自收到退款申请之日起3个工作日内向未中标人退还投标保证金。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注：（1）带“*”标记的为中标人，无需选择；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（2）中标人投标保证金退款，在中标人完成合同上传以及鉴证服务费缴纳凭证上传后，由系统自动退还；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（3）退款明细可修改，代理机构须认真核实投标保证金交纳情况；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（4）</w:t>
      </w:r>
      <w:r>
        <w:rPr>
          <w:rFonts w:ascii="仿宋_GB2312" w:hAnsi="宋体" w:eastAsia="仿宋_GB2312" w:cs="Times New Roman"/>
          <w:sz w:val="28"/>
          <w:szCs w:val="28"/>
        </w:rPr>
        <w:t>退款说明为系统默认带出</w:t>
      </w:r>
      <w:r>
        <w:rPr>
          <w:rFonts w:hint="eastAsia" w:ascii="仿宋_GB2312" w:hAnsi="宋体" w:eastAsia="仿宋_GB2312" w:cs="Times New Roman"/>
          <w:sz w:val="28"/>
          <w:szCs w:val="28"/>
        </w:rPr>
        <w:t>值</w:t>
      </w:r>
      <w:r>
        <w:rPr>
          <w:rFonts w:ascii="仿宋_GB2312" w:hAnsi="宋体" w:eastAsia="仿宋_GB2312" w:cs="Times New Roman"/>
          <w:sz w:val="28"/>
          <w:szCs w:val="28"/>
        </w:rPr>
        <w:t>，代理机构可根据实际情况进行修改；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（5）</w:t>
      </w:r>
      <w:r>
        <w:rPr>
          <w:rFonts w:ascii="仿宋_GB2312" w:hAnsi="宋体" w:eastAsia="仿宋_GB2312" w:cs="Times New Roman"/>
          <w:sz w:val="28"/>
          <w:szCs w:val="28"/>
        </w:rPr>
        <w:t>经办意见，代理机构可根据实际情况填写。如需对退款说明进行内容补充，可在经办意见栏内填写。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6</w:t>
      </w:r>
      <w:r>
        <w:rPr>
          <w:rFonts w:hint="eastAsia" w:ascii="仿宋_GB2312" w:hAnsi="宋体" w:eastAsia="仿宋_GB2312" w:cs="Times New Roman"/>
          <w:sz w:val="28"/>
          <w:szCs w:val="28"/>
        </w:rPr>
        <w:t>）如项目招标失败或终止，代理机构须在系统内先完成项目异常处理，平台登记通过后方可进行退款申请。</w:t>
      </w: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3E2E"/>
    <w:rsid w:val="780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2021-08-20T08:45:00Z</dcterms:created>
  <dc:creator>哆啦A菁</dc:creator>
  <cp:lastModifiedBy>哆啦A菁</cp:lastModifiedBy>
  <dcterms:modified xsi:type="dcterms:W3CDTF">2021-08-20T08:46:12Z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